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360" w:before="157" w:after="0"/>
        <w:jc w:val="center"/>
        <w:rPr>
          <w:rFonts w:ascii="Arial" w:hAnsi="Arial" w:cs="Arial" w:asciiTheme="minorHAnsi" w:cstheme="minorHAnsi" w:hAnsiTheme="minorHAnsi"/>
          <w:b/>
          <w:u w:val="single"/>
        </w:rPr>
      </w:pPr>
      <w:r>
        <w:rPr>
          <w:rFonts w:cs="Arial" w:cstheme="minorHAnsi"/>
          <w:b/>
          <w:u w:val="single"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  <w:t>PROGRAMA AGENTE DE CIDADANIA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  <w:t>O que é</w:t>
      </w:r>
    </w:p>
    <w:p>
      <w:pPr>
        <w:pStyle w:val="BodyText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ab/>
        <w:t xml:space="preserve">Trata-se de um programa do Governo do Paraná, voltado ao pagamento de bolsa-auxílio no valor de R$ 400,00 a adolescentes e jovens, denominados </w:t>
      </w:r>
      <w:r>
        <w:rPr>
          <w:rStyle w:val="Emphasis"/>
          <w:rFonts w:cs="Arial" w:cstheme="minorHAnsi"/>
        </w:rPr>
        <w:t>Agentes de Cidadania</w:t>
      </w:r>
      <w:r>
        <w:rPr>
          <w:rFonts w:cs="Arial" w:cstheme="minorHAnsi"/>
        </w:rPr>
        <w:t>, com o objetivo de incentivar o protagonismo juvenil e promover experiências significativas tanto para os participantes quanto para a sociedade como um todo.</w:t>
      </w:r>
    </w:p>
    <w:p>
      <w:pPr>
        <w:pStyle w:val="BodyText"/>
        <w:spacing w:lineRule="auto" w:line="36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ab/>
        <w:t>O Programa Agente de Cidadania busca aliar o potencial de liderança e o conhecimento desses jovens à necessidade de atenção prioritária às populações infantojuvenis em situação de maior vulnerabilidade. Oferecendo uma oportunidade concreta de participação social, permitindo que os agentes atuem diretamente em prol de suas comunidades.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  <w:t>Qual objetivo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ab/>
        <w:t xml:space="preserve">Incentivar de forma concreta a participação ativa dos adolescentes e jovens em sua comunidade, promovendo o desenvolvimento social, o senso de pertencimento, a construção de identidade, fortalecimento dos vínculos comunitários e a visibilidade positiva das habilidades e saberes dos adolescentes e jovens. 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ab/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  <w:t>Quem pode ser Agente de Cidadania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 xml:space="preserve">Adolescentes e jovens de 14 a 24 anos, prioritariamente em situação de vulnerabilidade e/ou risco social, vinculados às seguintes unidades: </w:t>
      </w:r>
    </w:p>
    <w:p>
      <w:pPr>
        <w:pStyle w:val="LO-normal"/>
        <w:widowControl w:val="false"/>
        <w:numPr>
          <w:ilvl w:val="0"/>
          <w:numId w:val="1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CRAS e Centros de Convivência de municípios contemplados pelo Programa;</w:t>
      </w:r>
    </w:p>
    <w:p>
      <w:pPr>
        <w:pStyle w:val="LO-normal"/>
        <w:widowControl w:val="false"/>
        <w:numPr>
          <w:ilvl w:val="0"/>
          <w:numId w:val="1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Programa Centros da Juventude (nos moldes da Deliberação do Conselho Estadual dos Direitos da Criança e do Adolescente – CEDCA/PR).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/>
          <w:b/>
        </w:rPr>
        <w:t>Critérios para participação: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Residir no município de execução do Programa;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Com inscrição no Cadastro único para Programas Sociais;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Com renda mensal per capta de até 1 salário-mínimo nacional;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Em idade escolar (até 17 anos sem concluir o ensino médio) estar frequentando a escola ou voltar a frequentar;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/>
          <w:b/>
        </w:rPr>
        <w:t>Terão prioridades adolescentes e jovens</w:t>
      </w:r>
      <w:r>
        <w:rPr>
          <w:rFonts w:cs="Arial" w:cstheme="minorHAnsi"/>
          <w:b/>
          <w:color w:val="000000"/>
        </w:rPr>
        <w:t xml:space="preserve"> em situações de vulnerabilidade e risco social: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Em cumprimento ou egresso de medidas socioeducativas;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Egresso do sistema prisional, acima de 18 anos;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Em cumprimento ou egresso de medidas de proteção;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Em situação de acolhimento institucional e familiar;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Em situação de trabalho infantil ou egressos do Programa de Erradicação do Trabalho Infantil;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Adolescentes ou jovens com deficiência;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Com defasagem escolar;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Residente da área rural;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Adolescentes e jovens participantes do Serviço de Convivência e Fortalecimento de Vínculos;</w:t>
      </w:r>
    </w:p>
    <w:p>
      <w:pPr>
        <w:pStyle w:val="LO-normal"/>
        <w:widowControl w:val="false"/>
        <w:numPr>
          <w:ilvl w:val="0"/>
          <w:numId w:val="3"/>
        </w:numPr>
        <w:spacing w:lineRule="auto" w:line="360" w:before="157" w:after="0"/>
        <w:ind w:hanging="340" w:left="737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color w:val="000000"/>
        </w:rPr>
        <w:t>Adolescentes e jovens participantes do Serviço de Convivência e Fortalecimento de Vínculos.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  <w:t>Tempo de Participação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A permanência do Agente de Cidadania é de um ano, podendo ser prorrogado para mais um ano, esgotando os 2 anos previstos na Lei.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</w:rPr>
      </w:pPr>
      <w:r>
        <w:rPr>
          <w:rFonts w:cs="Arial" w:cstheme="minorHAnsi"/>
          <w:b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b/>
        </w:rPr>
        <w:t>Atribuições do Agente de Cidadania</w:t>
      </w:r>
    </w:p>
    <w:p>
      <w:pPr>
        <w:pStyle w:val="LO-normal"/>
        <w:widowControl w:val="false"/>
        <w:numPr>
          <w:ilvl w:val="0"/>
          <w:numId w:val="4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Elaborar com a equipe técnica da unidade municipal um projeto nas áreas de esporte, lazer, cultura, cidadania, educação e participação social voltado para crianças e adolescentes do município. O projeto será de acordo com as habilidades e interesse de cada Agente de Cidadania.</w:t>
      </w:r>
    </w:p>
    <w:p>
      <w:pPr>
        <w:pStyle w:val="LO-normal"/>
        <w:widowControl w:val="false"/>
        <w:numPr>
          <w:ilvl w:val="0"/>
          <w:numId w:val="4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Para receber a bolsa o Agente precisa cumprir a carga horária de 40 horas mensais no planejamento, execução direta do projeto, supervisão, elaboração de relatórios e na participação das ações socioeducativas/formativas;</w:t>
      </w:r>
    </w:p>
    <w:p>
      <w:pPr>
        <w:pStyle w:val="LO-normal"/>
        <w:widowControl w:val="false"/>
        <w:numPr>
          <w:ilvl w:val="0"/>
          <w:numId w:val="4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Executar com zelo e diligência as atividades propostas em seu projeto;</w:t>
      </w:r>
    </w:p>
    <w:p>
      <w:pPr>
        <w:pStyle w:val="LO-normal"/>
        <w:widowControl w:val="false"/>
        <w:numPr>
          <w:ilvl w:val="0"/>
          <w:numId w:val="4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Apresentar frequência escolar sempre que solicitado, quando em idade escolar;</w:t>
      </w:r>
    </w:p>
    <w:p>
      <w:pPr>
        <w:pStyle w:val="LO-normal"/>
        <w:widowControl w:val="false"/>
        <w:numPr>
          <w:ilvl w:val="0"/>
          <w:numId w:val="4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Atender às recomendações da equipe do Programa;</w:t>
      </w:r>
    </w:p>
    <w:p>
      <w:pPr>
        <w:pStyle w:val="LO-normal"/>
        <w:widowControl w:val="false"/>
        <w:numPr>
          <w:ilvl w:val="0"/>
          <w:numId w:val="4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Apresentar comportamento ético e compatível com suas atribuições e não praticar ato infracional ou crime no período que tiver atuando como Agente de Cidadania, mediante avaliação da equipe técnica.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/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  <w:b/>
        </w:rPr>
        <w:t>Gestão do Programa</w:t>
      </w:r>
    </w:p>
    <w:p>
      <w:pPr>
        <w:pStyle w:val="BodyText"/>
        <w:spacing w:lineRule="auto" w:line="36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ab/>
        <w:t>A coordenação do Programa é de responsabilidade da Divisão de Proteção Social Básica (DPSB), da Secretaria de Desenvolvimento Social e Família (SEDEF), sendo a gestão estadual responsável pelo pagamento da bolsa-auxílio diretamente aos adolescentes e jovens, e a gestão municipal responsável pela execução técnica do programa juntamente aos adolescentes e jovens do seu território.</w:t>
      </w:r>
    </w:p>
    <w:p>
      <w:pPr>
        <w:pStyle w:val="BodyText"/>
        <w:spacing w:lineRule="auto" w:line="36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</w:rPr>
        <w:tab/>
        <w:t>O Programa Agente de Cidadania prevê que adolescentes e jovens executem seus projetos dentro das unidades (Centro de Convivência, CRAS ou Centro da Juventude) ou no território de referência das unidades que estão vinculados, cumprindo a carga horária solicitada. Assim, é possível que desenvolvam ações de protagonismo juvenil, bem como, tenham acesso à renda, fortalecendo o caráter protetivo, preventivo e proativo da Proteção Social Básica.</w:t>
      </w:r>
    </w:p>
    <w:p>
      <w:pPr>
        <w:pStyle w:val="LO-normal"/>
        <w:widowControl w:val="false"/>
        <w:spacing w:lineRule="auto" w:line="360" w:before="157" w:after="0"/>
        <w:jc w:val="both"/>
        <w:rPr>
          <w:rFonts w:ascii="Arial" w:hAnsi="Arial" w:cs="Arial" w:asciiTheme="minorHAnsi" w:cstheme="minorHAnsi" w:hAnsiTheme="minorHAnsi"/>
          <w:b/>
          <w:bCs/>
        </w:rPr>
      </w:pPr>
      <w:r>
        <w:rPr>
          <w:rFonts w:cs="Arial" w:cstheme="minorHAnsi"/>
          <w:b/>
          <w:bCs/>
        </w:rPr>
        <w:t>Legislação do Programa</w:t>
      </w:r>
    </w:p>
    <w:p>
      <w:pPr>
        <w:pStyle w:val="LO-normal"/>
        <w:widowControl w:val="false"/>
        <w:numPr>
          <w:ilvl w:val="0"/>
          <w:numId w:val="2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Lei Estadual nº 16.021/2008;</w:t>
      </w:r>
    </w:p>
    <w:p>
      <w:pPr>
        <w:pStyle w:val="LO-normal"/>
        <w:widowControl w:val="false"/>
        <w:numPr>
          <w:ilvl w:val="0"/>
          <w:numId w:val="2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Resolução SEDEF nº280/2025 (link para anexos);</w:t>
      </w:r>
    </w:p>
    <w:p>
      <w:pPr>
        <w:pStyle w:val="LO-normal"/>
        <w:widowControl w:val="false"/>
        <w:numPr>
          <w:ilvl w:val="0"/>
          <w:numId w:val="2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Deliberação CEAS nº36/2025;</w:t>
      </w:r>
    </w:p>
    <w:p>
      <w:pPr>
        <w:pStyle w:val="LO-normal"/>
        <w:widowControl w:val="false"/>
        <w:numPr>
          <w:ilvl w:val="0"/>
          <w:numId w:val="2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Deliberação CEDCA nº 39/2021;</w:t>
      </w:r>
    </w:p>
    <w:p>
      <w:pPr>
        <w:pStyle w:val="LO-normal"/>
        <w:widowControl w:val="false"/>
        <w:numPr>
          <w:ilvl w:val="0"/>
          <w:numId w:val="2"/>
        </w:numPr>
        <w:spacing w:lineRule="auto" w:line="360" w:before="157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cstheme="minorHAnsi"/>
        </w:rPr>
        <w:t>Projeto técnico – Agente de Cidadania.</w:t>
      </w:r>
    </w:p>
    <w:p>
      <w:pPr>
        <w:pStyle w:val="LO-normal"/>
        <w:widowControl w:val="false"/>
        <w:spacing w:lineRule="auto" w:line="360" w:before="157" w:after="0"/>
        <w:ind w:left="720"/>
        <w:jc w:val="both"/>
        <w:rPr/>
      </w:pPr>
      <w:r>
        <w:rPr/>
        <w:t>(Devem estar disponível para abri e baixar e ter uma pasta separada com os anexos editaveis da Resolução para uso dos responsáveis do Programa)</w:t>
      </w:r>
    </w:p>
    <w:p>
      <w:pPr>
        <w:pStyle w:val="LO-normal"/>
        <w:widowControl w:val="false"/>
        <w:spacing w:lineRule="auto" w:line="360" w:before="157" w:after="0"/>
        <w:ind w:left="720"/>
        <w:jc w:val="both"/>
        <w:rPr/>
      </w:pPr>
      <w:r>
        <w:rPr/>
      </w:r>
    </w:p>
    <w:p>
      <w:pPr>
        <w:pStyle w:val="LO-normal"/>
        <w:widowControl w:val="false"/>
        <w:spacing w:lineRule="auto" w:line="360" w:before="157" w:after="0"/>
        <w:jc w:val="both"/>
        <w:rPr/>
      </w:pPr>
      <w:r>
        <w:rPr>
          <w:b/>
          <w:bCs/>
        </w:rPr>
        <w:t xml:space="preserve">Municípios contemplados e com adesão para execução em CRAS e Centro de Convivência – Deliberação CEAS/PR nº 36/2025 </w:t>
      </w:r>
      <w:r>
        <w:rPr/>
        <w:t>(pedir para montarem um mapa com os municípios)</w:t>
      </w:r>
    </w:p>
    <w:p>
      <w:pPr>
        <w:pStyle w:val="LO-normal"/>
        <w:widowControl w:val="false"/>
        <w:spacing w:lineRule="auto" w:line="360" w:before="157" w:after="0"/>
        <w:jc w:val="both"/>
        <w:rPr/>
      </w:pPr>
      <w:r>
        <w:rPr/>
      </w:r>
    </w:p>
    <w:tbl>
      <w:tblPr>
        <w:tblStyle w:val="TableNormal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85"/>
        <w:gridCol w:w="4885"/>
      </w:tblGrid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Iretama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Clevelândia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Luiziana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Coronel Vivida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Nova Cantu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Foz do Jordão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Ubiratã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Guarapuava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Icaraíma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Pinhão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Santa Lúcia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Prudentópolis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Assis Chateaubriand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Reserva do Iguaçu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Congonhinhas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Turvo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Itambaracá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Rio Bonito do Iguaçu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São Sebastião da Amoreira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Palmital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Sapopema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Florestópolis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Jaboti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Ibiporã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Santo Antônio da Platina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Londrina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Araucária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Pitangueiras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Colombo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Cândido de Abreu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Contenda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Faxinal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Fazenda Rio Grande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Grandes Rios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Tijucas do Sul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Rio Branco do Ivaí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Guaratuba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Floresta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Matinhos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Marialva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Barracão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Munhoz de Melo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Nova Esperança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Paiçandu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Sarandi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Alto Paraná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Amaporã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Guairaçá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Planaltina do Paraná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Ivaí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Ortigueira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Reserva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Tibagi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Bituruna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General Carneiro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Paula Freitas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Guamiranga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Rebouças</w:t>
            </w:r>
          </w:p>
        </w:tc>
      </w:tr>
      <w:tr>
        <w:trPr/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  <w:t>Teixeira Soares</w:t>
            </w:r>
          </w:p>
        </w:tc>
        <w:tc>
          <w:tcPr>
            <w:tcW w:w="4885" w:type="dxa"/>
            <w:tcBorders/>
          </w:tcPr>
          <w:p>
            <w:pPr>
              <w:pStyle w:val="Contedodatabela"/>
              <w:widowControl/>
              <w:suppressAutoHyphens w:val="true"/>
              <w:spacing w:before="0" w:after="0"/>
              <w:jc w:val="center"/>
              <w:rPr>
                <w:rFonts w:ascii="Arial" w:hAnsi="Arial" w:eastAsia="Arial" w:cs="Arial"/>
                <w:kern w:val="0"/>
                <w:sz w:val="22"/>
                <w:szCs w:val="22"/>
                <w:lang w:val="pt-BR" w:eastAsia="zh-CN" w:bidi="hi-IN"/>
              </w:rPr>
            </w:pPr>
            <w:r>
              <w:rPr>
                <w:rFonts w:eastAsia="Arial" w:cs="Arial"/>
                <w:kern w:val="0"/>
                <w:sz w:val="22"/>
                <w:szCs w:val="22"/>
                <w:lang w:val="pt-BR" w:eastAsia="zh-CN" w:bidi="hi-IN"/>
              </w:rPr>
            </w:r>
          </w:p>
        </w:tc>
      </w:tr>
    </w:tbl>
    <w:p>
      <w:pPr>
        <w:pStyle w:val="LO-normal"/>
        <w:widowControl w:val="false"/>
        <w:spacing w:lineRule="auto" w:line="360" w:before="157" w:after="0"/>
        <w:jc w:val="both"/>
        <w:rPr>
          <w:color w:val="FF0000"/>
        </w:rPr>
      </w:pPr>
      <w:r>
        <w:rPr>
          <w:b/>
          <w:bCs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b/>
          <w:bCs/>
        </w:rPr>
      </w:pPr>
      <w:r>
        <w:rPr>
          <w:b/>
          <w:bCs/>
        </w:rPr>
        <w:t xml:space="preserve">Municípios contemplados para execução nos Centros da Juventude </w:t>
      </w:r>
      <w:r>
        <w:rPr/>
        <w:t>(pedir para montarem um mapa com os municípios)</w:t>
      </w:r>
    </w:p>
    <w:p>
      <w:pPr>
        <w:pStyle w:val="LO-normal"/>
        <w:widowControl w:val="false"/>
        <w:spacing w:lineRule="auto" w:line="360" w:before="157" w:after="0"/>
        <w:jc w:val="both"/>
        <w:rPr>
          <w:b/>
          <w:bCs/>
        </w:rPr>
      </w:pPr>
      <w:r>
        <w:rPr>
          <w:b/>
          <w:bCs/>
        </w:rPr>
      </w:r>
    </w:p>
    <w:tbl>
      <w:tblPr>
        <w:tblW w:w="5000" w:type="pct"/>
        <w:jc w:val="left"/>
        <w:tblInd w:w="1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85"/>
        <w:gridCol w:w="4885"/>
      </w:tblGrid>
      <w:tr>
        <w:trPr/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Almirante Tamandaré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Lapa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Apucarana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Laranjeiras do Sul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Cambé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Maringá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Campo Largo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Palmas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Campo Mourão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Paranavaí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Cascavel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Pinhais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Castro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Piraquara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Curitiba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Pitanga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Foz do Iguaçu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São José dos Pinhais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Francisco Beltrão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São Mateus do Sul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Irati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Telêmaco Borba</w:t>
            </w:r>
          </w:p>
        </w:tc>
      </w:tr>
      <w:tr>
        <w:trPr/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Ivaiporã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Toledo</w:t>
            </w:r>
          </w:p>
        </w:tc>
      </w:tr>
      <w:tr>
        <w:trPr>
          <w:trHeight w:val="568" w:hRule="atLeast"/>
        </w:trPr>
        <w:tc>
          <w:tcPr>
            <w:tcW w:w="48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Jacarezinho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/>
              <w:jc w:val="center"/>
              <w:rPr/>
            </w:pPr>
            <w:r>
              <w:rPr/>
              <w:t>Umuarama</w:t>
            </w:r>
          </w:p>
        </w:tc>
      </w:tr>
    </w:tbl>
    <w:p>
      <w:pPr>
        <w:pStyle w:val="LO-normal"/>
        <w:widowControl w:val="false"/>
        <w:spacing w:lineRule="auto" w:line="360" w:before="157" w:after="0"/>
        <w:jc w:val="both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spacing w:lineRule="auto" w:line="360" w:before="157" w:after="0"/>
        <w:jc w:val="both"/>
        <w:rPr>
          <w:b/>
          <w:bCs/>
        </w:rPr>
      </w:pPr>
      <w:r>
        <w:rPr>
          <w:b/>
          <w:bCs/>
        </w:rPr>
        <w:t>Contato</w:t>
      </w:r>
    </w:p>
    <w:p>
      <w:pPr>
        <w:pStyle w:val="LO-normal"/>
        <w:widowControl w:val="false"/>
        <w:spacing w:lineRule="auto" w:line="360" w:before="157" w:after="0"/>
        <w:jc w:val="both"/>
        <w:rPr/>
      </w:pPr>
      <w:r>
        <w:rPr/>
        <w:t xml:space="preserve">E-mail: agentecidadania@sedef.pr.gov.br </w:t>
      </w:r>
    </w:p>
    <w:sectPr>
      <w:headerReference w:type="default" r:id="rId2"/>
      <w:footerReference w:type="default" r:id="rId3"/>
      <w:type w:val="nextPage"/>
      <w:pgSz w:w="11906" w:h="16838"/>
      <w:pgMar w:left="1130" w:right="1005" w:gutter="0" w:header="0" w:top="419" w:footer="720" w:bottom="777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M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350" w:after="0"/>
      <w:ind w:left="2"/>
      <w:jc w:val="center"/>
      <w:rPr>
        <w:sz w:val="19"/>
        <w:szCs w:val="19"/>
      </w:rPr>
    </w:pPr>
    <w:r>
      <w:rPr>
        <w:sz w:val="19"/>
        <w:szCs w:val="19"/>
      </w:rPr>
    </w:r>
  </w:p>
  <w:p>
    <w:pPr>
      <w:pStyle w:val="LO-normal"/>
      <w:jc w:val="center"/>
      <w:rPr>
        <w:sz w:val="19"/>
        <w:szCs w:val="19"/>
      </w:rPr>
    </w:pPr>
    <w:r>
      <w:rPr/>
      <w:drawing>
        <wp:inline distT="0" distB="0" distL="0" distR="0">
          <wp:extent cx="6203315" cy="3175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03315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widowControl w:val="false"/>
      <w:spacing w:lineRule="auto" w:line="240"/>
      <w:ind w:left="373"/>
      <w:rPr>
        <w:rFonts w:ascii="Times New Roman" w:hAnsi="Times New Roman" w:eastAsia="Times New Roman" w:cs="Times New Roman"/>
        <w:sz w:val="24"/>
        <w:szCs w:val="24"/>
      </w:rPr>
    </w:pPr>
    <w:r>
      <w:rPr>
        <w:rFonts w:eastAsia="Times New Roman" w:cs="Times New Roman" w:ascii="Times New Roman" w:hAnsi="Times New Roman"/>
        <w:sz w:val="24"/>
        <w:szCs w:val="24"/>
      </w:rPr>
    </w:r>
  </w:p>
  <w:p>
    <w:pPr>
      <w:pStyle w:val="LO-normal"/>
      <w:widowControl w:val="false"/>
      <w:spacing w:lineRule="auto" w:line="240"/>
      <w:ind w:left="373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eastAsia="Times New Roman" w:cs="Times New Roman" w:ascii="Times New Roman" w:hAnsi="Times New Roman"/>
        <w:b/>
        <w:sz w:val="24"/>
        <w:szCs w:val="24"/>
      </w:rPr>
    </w:r>
  </w:p>
  <w:p>
    <w:pPr>
      <w:pStyle w:val="LO-normal"/>
      <w:widowControl w:val="false"/>
      <w:spacing w:lineRule="auto" w:line="240"/>
      <w:ind w:left="373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/>
      <w:drawing>
        <wp:inline distT="0" distB="0" distL="0" distR="0">
          <wp:extent cx="1911350" cy="91884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2e13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 w:customStyle="1">
    <w:name w:val="Heading 1"/>
    <w:basedOn w:val="LO-normal"/>
    <w:next w:val="LO-normal"/>
    <w:qFormat/>
    <w:rsid w:val="00d02e13"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Heading2" w:customStyle="1">
    <w:name w:val="Heading 2"/>
    <w:basedOn w:val="LO-normal"/>
    <w:next w:val="LO-normal"/>
    <w:qFormat/>
    <w:rsid w:val="00d02e13"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Heading3" w:customStyle="1">
    <w:name w:val="Heading 3"/>
    <w:basedOn w:val="LO-normal"/>
    <w:next w:val="LO-normal"/>
    <w:qFormat/>
    <w:rsid w:val="00d02e13"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Heading4" w:customStyle="1">
    <w:name w:val="Heading 4"/>
    <w:basedOn w:val="LO-normal"/>
    <w:next w:val="LO-normal"/>
    <w:qFormat/>
    <w:rsid w:val="00d02e13"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 w:customStyle="1">
    <w:name w:val="Heading 5"/>
    <w:basedOn w:val="LO-normal"/>
    <w:next w:val="LO-normal"/>
    <w:qFormat/>
    <w:rsid w:val="00d02e13"/>
    <w:pPr>
      <w:keepNext w:val="true"/>
      <w:keepLines/>
      <w:spacing w:lineRule="auto" w:line="240" w:before="220" w:after="40"/>
    </w:pPr>
    <w:rPr>
      <w:b/>
    </w:rPr>
  </w:style>
  <w:style w:type="paragraph" w:styleId="Heading6" w:customStyle="1">
    <w:name w:val="Heading 6"/>
    <w:basedOn w:val="LO-normal"/>
    <w:next w:val="LO-normal"/>
    <w:qFormat/>
    <w:rsid w:val="00d02e13"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" w:customStyle="1">
    <w:name w:val="Marcadores"/>
    <w:qFormat/>
    <w:rsid w:val="00d02e13"/>
    <w:rPr>
      <w:rFonts w:ascii="OpenSymbol" w:hAnsi="OpenSymbol" w:eastAsia="OpenSymbol" w:cs="OpenSymbol"/>
    </w:rPr>
  </w:style>
  <w:style w:type="character" w:styleId="Caracteresdenotaderodap" w:customStyle="1">
    <w:name w:val="Caracteres de nota de rodapé"/>
    <w:qFormat/>
    <w:rsid w:val="00b00e5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defim" w:customStyle="1">
    <w:name w:val="Caracteres de nota de fim"/>
    <w:qFormat/>
    <w:rsid w:val="00b00e55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mbolosdenumerao" w:customStyle="1">
    <w:name w:val="Símbolos de numeração"/>
    <w:qFormat/>
    <w:rsid w:val="00d02e13"/>
    <w:rPr/>
  </w:style>
  <w:style w:type="character" w:styleId="Emphasis">
    <w:name w:val="Emphasis"/>
    <w:qFormat/>
    <w:rsid w:val="00d02e13"/>
    <w:rPr>
      <w:i/>
      <w:i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c3c70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d02e13"/>
    <w:pPr>
      <w:spacing w:before="0" w:after="140"/>
    </w:pPr>
    <w:rPr/>
  </w:style>
  <w:style w:type="paragraph" w:styleId="List">
    <w:name w:val="List"/>
    <w:basedOn w:val="BodyText"/>
    <w:rsid w:val="00d02e13"/>
    <w:pPr/>
    <w:rPr>
      <w:rFonts w:cs="Lucida Sans"/>
    </w:rPr>
  </w:style>
  <w:style w:type="paragraph" w:styleId="Caption" w:customStyle="1">
    <w:name w:val="Caption"/>
    <w:basedOn w:val="Normal"/>
    <w:qFormat/>
    <w:rsid w:val="00d02e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02e13"/>
    <w:pPr>
      <w:suppressLineNumbers/>
    </w:pPr>
    <w:rPr>
      <w:rFonts w:cs="Lucida Sans"/>
    </w:rPr>
  </w:style>
  <w:style w:type="paragraph" w:styleId="Title">
    <w:name w:val="Title"/>
    <w:basedOn w:val="LO-normal"/>
    <w:next w:val="BodyText"/>
    <w:qFormat/>
    <w:rsid w:val="00d02e13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-normal" w:customStyle="1">
    <w:name w:val="LO-normal"/>
    <w:qFormat/>
    <w:rsid w:val="00d02e13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LO-normal"/>
    <w:next w:val="LO-normal"/>
    <w:qFormat/>
    <w:rsid w:val="00d02e1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rsid w:val="00d02e13"/>
    <w:pPr/>
    <w:rPr/>
  </w:style>
  <w:style w:type="paragraph" w:styleId="Header" w:customStyle="1">
    <w:name w:val="Header"/>
    <w:basedOn w:val="CabealhoeRodap"/>
    <w:rsid w:val="00d02e13"/>
    <w:pPr/>
    <w:rPr/>
  </w:style>
  <w:style w:type="paragraph" w:styleId="Footer" w:customStyle="1">
    <w:name w:val="Footer"/>
    <w:basedOn w:val="CabealhoeRodap"/>
    <w:rsid w:val="00d02e13"/>
    <w:pPr/>
    <w:rPr/>
  </w:style>
  <w:style w:type="paragraph" w:styleId="ListParagraph">
    <w:name w:val="List Paragraph"/>
    <w:basedOn w:val="Normal"/>
    <w:qFormat/>
    <w:rsid w:val="00d02e13"/>
    <w:pPr>
      <w:spacing w:before="127" w:after="0"/>
      <w:ind w:left="115"/>
    </w:pPr>
    <w:rPr>
      <w:rFonts w:ascii="Arial MT" w:hAnsi="Arial MT" w:eastAsia="Arial MT" w:cs="Arial MT"/>
      <w:lang w:val="pt-PT" w:eastAsia="en-US" w:bidi="ar-SA"/>
    </w:rPr>
  </w:style>
  <w:style w:type="paragraph" w:styleId="FootnoteText" w:customStyle="1">
    <w:name w:val="Footnote Text"/>
    <w:basedOn w:val="Normal"/>
    <w:rsid w:val="00d02e13"/>
    <w:pPr>
      <w:suppressLineNumbers/>
      <w:ind w:hanging="340" w:left="340"/>
    </w:pPr>
    <w:rPr>
      <w:sz w:val="20"/>
      <w:szCs w:val="20"/>
    </w:rPr>
  </w:style>
  <w:style w:type="paragraph" w:styleId="EndnoteText" w:customStyle="1">
    <w:name w:val="Endnote Text"/>
    <w:basedOn w:val="Normal"/>
    <w:rsid w:val="00d02e13"/>
    <w:pPr>
      <w:suppressLineNumbers/>
      <w:ind w:hanging="340" w:left="340"/>
    </w:pPr>
    <w:rPr>
      <w:sz w:val="20"/>
      <w:szCs w:val="20"/>
    </w:rPr>
  </w:style>
  <w:style w:type="paragraph" w:styleId="Contedodoquadro" w:customStyle="1">
    <w:name w:val="Conteúdo do quadro"/>
    <w:basedOn w:val="Normal"/>
    <w:qFormat/>
    <w:rsid w:val="00d02e13"/>
    <w:pPr/>
    <w:rPr/>
  </w:style>
  <w:style w:type="paragraph" w:styleId="TableParagraph" w:customStyle="1">
    <w:name w:val="Table Paragraph"/>
    <w:basedOn w:val="Normal"/>
    <w:qFormat/>
    <w:rsid w:val="00d02e13"/>
    <w:pPr>
      <w:spacing w:before="60" w:after="0"/>
      <w:ind w:left="50"/>
    </w:pPr>
    <w:rPr>
      <w:rFonts w:ascii="Arial MT" w:hAnsi="Arial MT" w:eastAsia="Arial MT" w:cs="Arial MT"/>
      <w:lang w:val="pt-PT" w:eastAsia="en-US" w:bidi="ar-SA"/>
    </w:rPr>
  </w:style>
  <w:style w:type="paragraph" w:styleId="Contedodatabela" w:customStyle="1">
    <w:name w:val="Conteúdo da tabela"/>
    <w:basedOn w:val="Normal"/>
    <w:qFormat/>
    <w:rsid w:val="00d02e13"/>
    <w:pPr>
      <w:widowControl w:val="false"/>
      <w:suppressLineNumbers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3c70"/>
    <w:pPr>
      <w:spacing w:lineRule="auto" w:line="240"/>
    </w:pPr>
    <w:rPr>
      <w:rFonts w:ascii="Tahoma" w:hAnsi="Tahoma" w:cs="Mangal"/>
      <w:sz w:val="16"/>
      <w:szCs w:val="14"/>
    </w:rPr>
  </w:style>
  <w:style w:type="paragraph" w:styleId="Ttulodetabela" w:customStyle="1">
    <w:name w:val="Título de tabela"/>
    <w:basedOn w:val="Contedodatabela"/>
    <w:qFormat/>
    <w:rsid w:val="00b00e55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d02e1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Application>LibreOffice/7.6.4.1$Windows_X86_64 LibreOffice_project/e19e193f88cd6c0525a17fb7a176ed8e6a3e2aa1</Application>
  <AppVersion>15.0000</AppVersion>
  <Pages>5</Pages>
  <Words>882</Words>
  <Characters>5109</Characters>
  <CharactersWithSpaces>5842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2025-09-23T14:11:00Z</dcterms:created>
  <dc:creator>magaliluiz</dc:creator>
  <dc:description/>
  <dc:language>pt-BR</dc:language>
  <cp:lastModifiedBy/>
  <dcterms:modified xsi:type="dcterms:W3CDTF">2025-09-24T13:26:22Z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